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65A0" w14:textId="77777777" w:rsidR="00882596" w:rsidRPr="00882596" w:rsidRDefault="00882596" w:rsidP="0088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96">
        <w:rPr>
          <w:rFonts w:ascii="Times New Roman" w:hAnsi="Times New Roman" w:cs="Times New Roman"/>
          <w:b/>
          <w:sz w:val="28"/>
          <w:szCs w:val="28"/>
        </w:rPr>
        <w:t>ИТОГИ</w:t>
      </w:r>
    </w:p>
    <w:p w14:paraId="0F5D7F7F" w14:textId="6DB3ED9F" w:rsidR="00882596" w:rsidRPr="00882596" w:rsidRDefault="00882596" w:rsidP="0088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96">
        <w:rPr>
          <w:rFonts w:ascii="Times New Roman" w:hAnsi="Times New Roman" w:cs="Times New Roman"/>
          <w:b/>
          <w:sz w:val="28"/>
          <w:szCs w:val="28"/>
        </w:rPr>
        <w:t>развития агропромышленного комплекса</w:t>
      </w:r>
    </w:p>
    <w:p w14:paraId="10F0F2D9" w14:textId="2AAFD36A" w:rsidR="00882596" w:rsidRPr="00882596" w:rsidRDefault="00882596" w:rsidP="0088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96">
        <w:rPr>
          <w:rFonts w:ascii="Times New Roman" w:hAnsi="Times New Roman" w:cs="Times New Roman"/>
          <w:b/>
          <w:sz w:val="28"/>
          <w:szCs w:val="28"/>
        </w:rPr>
        <w:t>Дальнеконстантиновского муниципального округа</w:t>
      </w:r>
    </w:p>
    <w:p w14:paraId="512CC46F" w14:textId="3181AAB3" w:rsidR="00A87050" w:rsidRPr="00882596" w:rsidRDefault="00882596" w:rsidP="0088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96">
        <w:rPr>
          <w:rFonts w:ascii="Times New Roman" w:hAnsi="Times New Roman" w:cs="Times New Roman"/>
          <w:b/>
          <w:sz w:val="28"/>
          <w:szCs w:val="28"/>
        </w:rPr>
        <w:t>за первый квартал 2026 года</w:t>
      </w:r>
    </w:p>
    <w:p w14:paraId="3CB16352" w14:textId="77777777" w:rsidR="00882596" w:rsidRPr="00A87050" w:rsidRDefault="00882596" w:rsidP="008825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320FEB0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82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итогам первого квартала 2026 года совокупная выручка от реализации продукции (работ, услуг) по всем сельхозорганизациям округа составила 855,2 млн руб., что на 13,3% (или на 131,6 млн руб.) ниже аналогичного показателя 2025 года (986,8 млн руб.). Себестоимость реализованной продукции сократилась до 670,3 млн руб. (–7,1% к 1 кв. 2025). В результате прибыль от продаж упала на 40,7% – с 212,8 до 126,2 млн руб., а чистая прибыль снизилась почти вдвое: с 190,1 до 98,2 млн руб. (–48,3%).</w:t>
      </w:r>
    </w:p>
    <w:p w14:paraId="77014B63" w14:textId="33D7816D" w:rsidR="00E107E2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82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Рентабельность деятельности (прибыль до налогообложения к выручке) составила 16,38% против 26,13% в первом квартале прошлого года. Рентабельность продаж снизилась с 29,50% до 18,82%. Основная причина – опережающее падение цен реализации по сравнению с себестоимостью, особенно на молоко и зерно.</w:t>
      </w:r>
    </w:p>
    <w:p w14:paraId="796797E6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Объём реализации молока в физическом весе вырос на 7,2% (с 13 666 до 14 643 тонн). Однако выручка от молока сократилась на 11,3% – с 665,1 до 590,0 млн руб. из-за значительного снижения средней цены: с 48,67 руб./кг в 1 кв. 2025 до 40,29 руб./кг (–17,2%). Себестоимость 1 кг молока, напротив, снизилась незначительно – с 33,87 до 29,88 руб. (–11,8%), что частично компенсировало падение цены. Рентабельность молока упала с 43,68% до 34,82%.</w:t>
      </w:r>
    </w:p>
    <w:p w14:paraId="23FB3376" w14:textId="798CF4B4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Наиболее ощутимое снижение цены зафиксировано в АО «Тепелево» (с 47,14 до 39,46 руб./кг) и АО «Березниковское» (с 50,86 до 41,76 руб./кг). Тем не менее молоко остаётся основным источником выручки (69% от всей реализации с/х продукции).</w:t>
      </w:r>
    </w:p>
    <w:p w14:paraId="07B47506" w14:textId="03015D09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 xml:space="preserve">Объём реализации мяса в живом весе сократился на 17,1% (с 533,6 до 442,3 тонн). Выручка упала на 19,2% (с 89,1 до 72,0 млн руб.). Средняя цена реализации снизилась с 166,92 до 162,68 руб./кг (–2,5%), при этом себестоимость 1 кг выросла с 180,25 до 197,69 руб./кг (+9,7%). Отрицательная рентабельность углубилась с –7,4% до –17,7%. В первом квартале 2026 года отсутствовала </w:t>
      </w:r>
      <w:proofErr w:type="spellStart"/>
      <w:r w:rsidRPr="00882596">
        <w:rPr>
          <w:rFonts w:ascii="Times New Roman" w:hAnsi="Times New Roman" w:cs="Times New Roman"/>
          <w:bCs/>
          <w:sz w:val="28"/>
          <w:szCs w:val="28"/>
        </w:rPr>
        <w:t>племпродажа</w:t>
      </w:r>
      <w:proofErr w:type="spellEnd"/>
      <w:r w:rsidRPr="00882596">
        <w:rPr>
          <w:rFonts w:ascii="Times New Roman" w:hAnsi="Times New Roman" w:cs="Times New Roman"/>
          <w:bCs/>
          <w:sz w:val="28"/>
          <w:szCs w:val="28"/>
        </w:rPr>
        <w:t xml:space="preserve"> (в 1 кв. 2025 было реализовано 30,3 тонны племенного скота по цене 330 руб./кг), что также негативно сказалось на общих показателях по мясу. Убыточность мясного скотоводства остаётся острой проблемой.</w:t>
      </w:r>
    </w:p>
    <w:p w14:paraId="67145516" w14:textId="377E4EA8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Зерновые культуры. Объём реализации зерна вырос на 7,4% (с 9 900 до 10 635 тонн), но выручка упала на 24,6% (с 152,3 до 114,9 млн руб.) из-за обвального падения цены: с 15,39 до 10,80 руб./кг (–29,8%). Себестоимость 1 кг снизилась с 12,99 до 9,75 руб. (–24,9%), однако рентабельность зерна сократилась с 18,47% до 10,82%. Особенно критично положение у АО «Березниковское» (цена упала с 17,35 до 10,19 руб./кг, рентабельность стала отрицательной –1,7%) и АО «Тепелево» (рентабельность ушла в минус –4,8%).</w:t>
      </w:r>
    </w:p>
    <w:p w14:paraId="4470C173" w14:textId="039C560E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lastRenderedPageBreak/>
        <w:t>Масличные культуры. Здесь наблюдается рост: объём реализации вырос с нуля в 1 кв. 2025 до 708 тонн в 1 кв. 2026 (основной объём обеспечило АО «Тепелево» – 684 тонны). Выручка составила 24,3 млн руб., средняя цена – 34,38 руб./кг, себестоимость – 17,34 руб./кг, рентабельность – 98,2%. Это крайне перспективное направление, которое пока только начинает развиваться.</w:t>
      </w:r>
    </w:p>
    <w:p w14:paraId="5950D5FD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В первом квартале 2026 года всеми хозяйствами начислено налогов и сборов на сумму 83,2 млн руб., оплачено – 72,2 млн руб. (исполнение – 86,7%). В структуре начислений:</w:t>
      </w:r>
    </w:p>
    <w:p w14:paraId="409D7065" w14:textId="6A75F4B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НДС – 33,8 млн руб. (40,6%),</w:t>
      </w:r>
    </w:p>
    <w:p w14:paraId="20576DBB" w14:textId="4A3A07EA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ЕСХН – 14,7 млн руб. (17,7%),</w:t>
      </w:r>
    </w:p>
    <w:p w14:paraId="4A107A12" w14:textId="2F4E8A61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страховые взносы – 45,4 млн руб. (начислено) и 45,2 млн руб. (оплачено),</w:t>
      </w:r>
    </w:p>
    <w:p w14:paraId="1728EE4A" w14:textId="731F7411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НДФЛ – начислено 24,2 млн руб., оплачено 20,5 млн руб.</w:t>
      </w:r>
    </w:p>
    <w:p w14:paraId="0E8376EB" w14:textId="7696386E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Задолженность по НДФЛ на начало года составляла 3,4 млн руб., на 1 апреля 2026 года выросла до 7,2 млн руб., что свидетельствует о росте долговой нагрузки по этому налогу.</w:t>
      </w:r>
    </w:p>
    <w:p w14:paraId="339CB44E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Общий объём инвестиций за 1 квартал 2026 года составил 123,9 млн руб., что на 28,4% меньше, чем за аналогичный период 2025 года (172,9 млн руб.). Годовой план на 2026 год установлен на уровне 1 176,1 млн руб., таким образом, за первый квартал план выполнен лишь на 10,5% (при равномерном распределении должно быть 25%). Это тревожный сигнал.</w:t>
      </w:r>
    </w:p>
    <w:p w14:paraId="19EB6B95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В структуре инвестиций:</w:t>
      </w:r>
    </w:p>
    <w:p w14:paraId="2A3B91C3" w14:textId="53CB7F2F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приобретение основных средств – 64,2 млн руб. (51,8%),</w:t>
      </w:r>
    </w:p>
    <w:p w14:paraId="07862390" w14:textId="40DB0B23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строительство и реконструкция – 14,8 млн руб. (11,9%),</w:t>
      </w:r>
    </w:p>
    <w:p w14:paraId="1A2EDE9C" w14:textId="2E47081F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82596">
        <w:rPr>
          <w:rFonts w:ascii="Times New Roman" w:hAnsi="Times New Roman" w:cs="Times New Roman"/>
          <w:bCs/>
          <w:sz w:val="28"/>
          <w:szCs w:val="28"/>
        </w:rPr>
        <w:t>остальное – прочие затраты (перевод молодняка и т.п.).</w:t>
      </w:r>
    </w:p>
    <w:p w14:paraId="644FE878" w14:textId="1E70431D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Наибольшие вложения у АО «Тепелево» (77,4 млн руб.), АО «Березниковское» (22,2 млн руб.) и СПК «Нижегородец» (10,4 млн руб.). Строительная активность снизилась почти втрое по сравнению с 1 кв. 2025 (было 27,9 млн руб., стало 14,8 млн руб.).</w:t>
      </w:r>
    </w:p>
    <w:p w14:paraId="4452ABE4" w14:textId="5013C573" w:rsid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 xml:space="preserve">Среднемесячная заработная плата по округу в 1 квартале 2026 года составила 96 219 руб., что на 11,8% выше уровня 1 квартала 2025 года (86 048 руб.). Численность работников сократилась с 671 до 652 человек (–2,8%). </w:t>
      </w:r>
    </w:p>
    <w:p w14:paraId="157DA774" w14:textId="6B8A2522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82596">
        <w:rPr>
          <w:rFonts w:ascii="Times New Roman" w:hAnsi="Times New Roman" w:cs="Times New Roman"/>
          <w:bCs/>
          <w:sz w:val="28"/>
          <w:szCs w:val="28"/>
        </w:rPr>
        <w:t>ервый квартал 2026 года для агропромышленного комплекса округа оказался сложным:</w:t>
      </w:r>
    </w:p>
    <w:p w14:paraId="29C157F6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Падение цен реализации (молоко –17%, зерно –30%) при незначительном снижении себестоимости привело к резкому сокращению прибыли и рентабельности.</w:t>
      </w:r>
    </w:p>
    <w:p w14:paraId="470CA9D7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 xml:space="preserve">Мясное скотоводство остаётся глубоко убыточным, и без </w:t>
      </w:r>
      <w:proofErr w:type="spellStart"/>
      <w:r w:rsidRPr="00882596">
        <w:rPr>
          <w:rFonts w:ascii="Times New Roman" w:hAnsi="Times New Roman" w:cs="Times New Roman"/>
          <w:bCs/>
          <w:sz w:val="28"/>
          <w:szCs w:val="28"/>
        </w:rPr>
        <w:t>племпродажи</w:t>
      </w:r>
      <w:proofErr w:type="spellEnd"/>
      <w:r w:rsidRPr="00882596">
        <w:rPr>
          <w:rFonts w:ascii="Times New Roman" w:hAnsi="Times New Roman" w:cs="Times New Roman"/>
          <w:bCs/>
          <w:sz w:val="28"/>
          <w:szCs w:val="28"/>
        </w:rPr>
        <w:t xml:space="preserve"> ситуация усугубилась.</w:t>
      </w:r>
    </w:p>
    <w:p w14:paraId="616A8F00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t>Инвестиционная активность снизилась почти на треть, а выполнение годового плана составляет лишь 10,5%, что требует оперативного вмешательства для активизации инвестиционных проектов.</w:t>
      </w:r>
    </w:p>
    <w:p w14:paraId="4FFCEA0F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AC3357" w14:textId="77777777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96">
        <w:rPr>
          <w:rFonts w:ascii="Times New Roman" w:hAnsi="Times New Roman" w:cs="Times New Roman"/>
          <w:bCs/>
          <w:sz w:val="28"/>
          <w:szCs w:val="28"/>
        </w:rPr>
        <w:lastRenderedPageBreak/>
        <w:t>Положительным моментом является рост зарплаты, что поддерживает социальную стабильность, а также бурный рост сектора масличных культур, который может стать новым драйвером.</w:t>
      </w:r>
    </w:p>
    <w:p w14:paraId="5D60A181" w14:textId="212BBB38" w:rsidR="00882596" w:rsidRPr="00882596" w:rsidRDefault="00882596" w:rsidP="0088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882596" w:rsidRPr="00882596" w:rsidSect="002F4B25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7D7"/>
    <w:rsid w:val="00024AE6"/>
    <w:rsid w:val="00027668"/>
    <w:rsid w:val="000554C5"/>
    <w:rsid w:val="000A5831"/>
    <w:rsid w:val="000C2745"/>
    <w:rsid w:val="000F3EEA"/>
    <w:rsid w:val="001460F8"/>
    <w:rsid w:val="00184551"/>
    <w:rsid w:val="00186A69"/>
    <w:rsid w:val="001A2C1C"/>
    <w:rsid w:val="002764F3"/>
    <w:rsid w:val="002B5B98"/>
    <w:rsid w:val="002C36BD"/>
    <w:rsid w:val="002E3E70"/>
    <w:rsid w:val="002F3364"/>
    <w:rsid w:val="002F4B25"/>
    <w:rsid w:val="00306910"/>
    <w:rsid w:val="003A1AF3"/>
    <w:rsid w:val="00460B48"/>
    <w:rsid w:val="00483D3F"/>
    <w:rsid w:val="00490081"/>
    <w:rsid w:val="004B6C0A"/>
    <w:rsid w:val="00534AD1"/>
    <w:rsid w:val="00581DC9"/>
    <w:rsid w:val="005944E2"/>
    <w:rsid w:val="005D4066"/>
    <w:rsid w:val="005E0C40"/>
    <w:rsid w:val="006007E4"/>
    <w:rsid w:val="00643536"/>
    <w:rsid w:val="006838D7"/>
    <w:rsid w:val="006D1AAA"/>
    <w:rsid w:val="007847D7"/>
    <w:rsid w:val="007924B6"/>
    <w:rsid w:val="00795019"/>
    <w:rsid w:val="007A1047"/>
    <w:rsid w:val="007A74B5"/>
    <w:rsid w:val="007B3FC7"/>
    <w:rsid w:val="007C1C70"/>
    <w:rsid w:val="007D495C"/>
    <w:rsid w:val="0083223E"/>
    <w:rsid w:val="00845C28"/>
    <w:rsid w:val="0085366F"/>
    <w:rsid w:val="008630CE"/>
    <w:rsid w:val="00882596"/>
    <w:rsid w:val="008A0E2F"/>
    <w:rsid w:val="009014D6"/>
    <w:rsid w:val="0096441F"/>
    <w:rsid w:val="009B4A5E"/>
    <w:rsid w:val="009C6DD8"/>
    <w:rsid w:val="009E6766"/>
    <w:rsid w:val="00A01077"/>
    <w:rsid w:val="00A32BFE"/>
    <w:rsid w:val="00A460F0"/>
    <w:rsid w:val="00A54CD1"/>
    <w:rsid w:val="00A5675B"/>
    <w:rsid w:val="00A76191"/>
    <w:rsid w:val="00A87050"/>
    <w:rsid w:val="00AC5D6B"/>
    <w:rsid w:val="00AC5F0F"/>
    <w:rsid w:val="00B373B1"/>
    <w:rsid w:val="00B91974"/>
    <w:rsid w:val="00BC5A1C"/>
    <w:rsid w:val="00BD1CEF"/>
    <w:rsid w:val="00C433C5"/>
    <w:rsid w:val="00C61B09"/>
    <w:rsid w:val="00C67C73"/>
    <w:rsid w:val="00C70265"/>
    <w:rsid w:val="00C72981"/>
    <w:rsid w:val="00C92020"/>
    <w:rsid w:val="00C95E42"/>
    <w:rsid w:val="00CC3626"/>
    <w:rsid w:val="00D2546A"/>
    <w:rsid w:val="00D54044"/>
    <w:rsid w:val="00D85268"/>
    <w:rsid w:val="00DA699D"/>
    <w:rsid w:val="00DC268E"/>
    <w:rsid w:val="00DD4935"/>
    <w:rsid w:val="00E107E2"/>
    <w:rsid w:val="00E27E4C"/>
    <w:rsid w:val="00E81F63"/>
    <w:rsid w:val="00EF16E1"/>
    <w:rsid w:val="00F6274D"/>
    <w:rsid w:val="00FB7074"/>
    <w:rsid w:val="00FB7365"/>
    <w:rsid w:val="00FC5845"/>
    <w:rsid w:val="00FC7B36"/>
    <w:rsid w:val="00FD2227"/>
    <w:rsid w:val="00FD6032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3425"/>
  <w15:docId w15:val="{F5D6CC9B-0C99-40D7-914C-3FED09A5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D7"/>
    <w:pPr>
      <w:ind w:left="720"/>
      <w:contextualSpacing/>
    </w:pPr>
  </w:style>
  <w:style w:type="character" w:customStyle="1" w:styleId="fontstyle01">
    <w:name w:val="fontstyle01"/>
    <w:basedOn w:val="a0"/>
    <w:rsid w:val="00E107E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rmal (Web)"/>
    <w:basedOn w:val="a"/>
    <w:uiPriority w:val="99"/>
    <w:rsid w:val="005D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317B-C7FD-4CDE-87B5-AAC132E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karamirzaeva</dc:creator>
  <cp:lastModifiedBy>ADMIN</cp:lastModifiedBy>
  <cp:revision>12</cp:revision>
  <cp:lastPrinted>2024-07-29T08:13:00Z</cp:lastPrinted>
  <dcterms:created xsi:type="dcterms:W3CDTF">2023-05-11T07:50:00Z</dcterms:created>
  <dcterms:modified xsi:type="dcterms:W3CDTF">2026-06-18T11:37:00Z</dcterms:modified>
</cp:coreProperties>
</file>